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68"/>
        <w:gridCol w:w="1892"/>
        <w:gridCol w:w="1276"/>
        <w:gridCol w:w="992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2"/>
                <w:szCs w:val="32"/>
              </w:rPr>
              <w:t>基建修缮工程结算送审表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546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送审时间：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27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工程地点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建筑规模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资金来源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计划投资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最高限价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投标金额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合同金额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送审金额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施工单位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5"/>
                <w:szCs w:val="15"/>
              </w:rPr>
              <w:t>项目经理及电话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开工日期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年    月    日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竣工日期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5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送 审 资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数 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是否清退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1.工程立项批复文件（含电子版）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2.招标文件（含招标答疑、最高限价、施工图纸等）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3.投标文件（含商务报价软件版）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4.中标通知书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5.施工合同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6.施工管理资料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6.1 设计变更单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6.2 签证单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6.3 工程收量单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6.4 材料认质认价单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6.5 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7.工程结算书（含软件版）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8.竣工图或竣工示意图（含软件版）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9.工程竣工验收报告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10.与工程结算有关的其他资料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0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资料审核人：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送审单位：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（签字盖章）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     年   月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主审（签字）：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注：1.接收资料后3个工作日内完成资料审核并反馈意见，资料完整后20个工作日内最长6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个工作日完成结算审计工作。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2.结算资料要求一次性送审，不接受多次送审。要求退还资料的请在备注栏标识。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3.清退不了的送审资料，审计归档结束后将予销毁。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953D94B-1B98-4A52-99C1-56E5B08189A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913120B-9F1E-497B-A7B3-E854459E4F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39C5161-2FB7-4649-BE50-6A9B200944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A26A112-C66C-4026-A574-7E2C980CAF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WU4MjI2NGRhYTkyOTliY2Q2YWFiZDQxYTE4YjYifQ=="/>
  </w:docVars>
  <w:rsids>
    <w:rsidRoot w:val="4E683F86"/>
    <w:rsid w:val="149150BE"/>
    <w:rsid w:val="4E6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434</Characters>
  <Lines>0</Lines>
  <Paragraphs>0</Paragraphs>
  <TotalTime>0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廖代卿</dc:creator>
  <cp:lastModifiedBy>廖代卿</cp:lastModifiedBy>
  <dcterms:modified xsi:type="dcterms:W3CDTF">2023-07-11T07:53:20Z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8F9A641CF0EF414ABDCEA126560B0AB5_11</vt:lpwstr>
  </property>
</Properties>
</file>