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1B590">
      <w:pPr>
        <w:widowControl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附件2：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904"/>
        <w:gridCol w:w="1464"/>
        <w:gridCol w:w="1392"/>
        <w:gridCol w:w="1446"/>
      </w:tblGrid>
      <w:tr w14:paraId="31B2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5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DB303C">
            <w:pPr>
              <w:widowControl/>
              <w:jc w:val="center"/>
              <w:rPr>
                <w:rFonts w:ascii="Times New Roman" w:hAnsi="Times New Roman" w:eastAsia="方正小标宋简体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工程项目招标最高限价送审表</w:t>
            </w:r>
            <w:bookmarkEnd w:id="0"/>
          </w:p>
        </w:tc>
      </w:tr>
      <w:tr w14:paraId="5E630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85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B789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</w:tr>
      <w:tr w14:paraId="62BA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96B1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送审时间：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8DB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1CD5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734C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编号：</w:t>
            </w:r>
          </w:p>
        </w:tc>
      </w:tr>
      <w:tr w14:paraId="74906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BE45D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工程名称</w:t>
            </w:r>
          </w:p>
        </w:tc>
        <w:tc>
          <w:tcPr>
            <w:tcW w:w="720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E57032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3853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91C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建设地点　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42FAD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B1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D98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建筑规模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44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533C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计划投资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D80F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75C77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29C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送审金额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448B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99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资金来源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F4B95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17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B91A19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送 审 资 料</w:t>
            </w:r>
          </w:p>
        </w:tc>
      </w:tr>
      <w:tr w14:paraId="5A60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50A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876A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数 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AAA4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是否清退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51B62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 注</w:t>
            </w:r>
          </w:p>
        </w:tc>
      </w:tr>
      <w:tr w14:paraId="78E08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EAE9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工程立项批复文件（含电子版）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4BB6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2B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B037E5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21712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E38B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招标文件（含招标答疑等）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1CCD4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833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861D0D5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042B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DD38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招标图纸（含软件版）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CCE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B0CF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364FE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C03A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5280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送审最高限价（含软件版）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24AB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828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D34F1C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688B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3906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与最高限价有关的其他资料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26D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0AF86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3074E8E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4517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554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 w14:paraId="2A6839CE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联系人：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/>
            <w:vAlign w:val="center"/>
          </w:tcPr>
          <w:p w14:paraId="2C3C1711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资料审核人：</w:t>
            </w:r>
          </w:p>
        </w:tc>
      </w:tr>
      <w:tr w14:paraId="5F950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5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3ECB26D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送审单位：(签字盖章)</w:t>
            </w:r>
          </w:p>
          <w:p w14:paraId="166C62CF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0A7E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2A0B2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主审:(签字)：</w:t>
            </w:r>
          </w:p>
          <w:p w14:paraId="1E6FBA2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78AB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  <w:tr w14:paraId="6E31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14068"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注：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3日内反馈资料预审意见，15日内完成审核工作。</w:t>
            </w:r>
          </w:p>
        </w:tc>
      </w:tr>
      <w:tr w14:paraId="018E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B64EE">
            <w:pPr>
              <w:widowControl/>
              <w:tabs>
                <w:tab w:val="left" w:pos="320"/>
              </w:tabs>
              <w:spacing w:line="320" w:lineRule="exact"/>
              <w:ind w:left="470" w:leftChars="147" w:firstLine="38" w:firstLineChars="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限价资料要求一次性送审，不接受多次送审，要求退还资料的请在备注栏标识。</w:t>
            </w:r>
          </w:p>
        </w:tc>
      </w:tr>
      <w:tr w14:paraId="531E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9F0F1">
            <w:pPr>
              <w:widowControl/>
              <w:numPr>
                <w:ilvl w:val="0"/>
                <w:numId w:val="1"/>
              </w:numPr>
              <w:spacing w:line="320" w:lineRule="exact"/>
              <w:ind w:left="470" w:leftChars="147" w:firstLine="38" w:firstLineChars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清退不了的送审资料，审计归档结束后将予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销毁。</w:t>
            </w:r>
          </w:p>
        </w:tc>
      </w:tr>
    </w:tbl>
    <w:p w14:paraId="5C8EA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9D89F43B-79C5-4211-A80E-DE9E175F85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A7C02DA-BFFC-4350-87A5-57FBAEC4E19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A8254F2-47AF-4A3D-BD53-A89E747FC9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A9DA"/>
    <w:multiLevelType w:val="singleLevel"/>
    <w:tmpl w:val="53D0A9D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172AB"/>
    <w:rsid w:val="510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仿宋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2025-04-22T07:29:00Z</dcterms:created>
  <dc:creator>廖代卿</dc:creator>
  <cp:lastModifiedBy>廖代卿</cp:lastModifiedBy>
  <dcterms:modified xsi:type="dcterms:W3CDTF">2025-04-22T07:30:09Z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331865DB081045529018C40C0CCC06FB_11</vt:lpwstr>
  </property>
  <property fmtid="{D5CDD505-2E9C-101B-9397-08002B2CF9AE}" pid="4" name="KSOTemplateDocerSaveRecord">
    <vt:lpwstr>eyJoZGlkIjoiYmRmYWU4MjI2NGRhYTkyOTliY2Q2YWFiZDQxYTE4YjYiLCJ1c2VySWQiOiI0NDI1MzkwODQifQ==</vt:lpwstr>
  </property>
</Properties>
</file>