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7C7B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right="0"/>
        <w:jc w:val="both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附件2：</w:t>
      </w:r>
    </w:p>
    <w:p w14:paraId="6BC128F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Autospacing="0" w:line="360" w:lineRule="auto"/>
        <w:ind w:right="0"/>
        <w:jc w:val="center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6"/>
          <w:szCs w:val="36"/>
          <w:u w:val="none"/>
        </w:rPr>
      </w:pPr>
      <w:bookmarkStart w:id="0" w:name="_GoBack"/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u w:val="none"/>
          <w:shd w:val="clear" w:color="auto" w:fill="FFFFFF"/>
          <w:lang w:val="en-US" w:eastAsia="zh-CN" w:bidi="ar"/>
        </w:rPr>
        <w:t>审计整改支撑材料清单</w:t>
      </w:r>
    </w:p>
    <w:bookmarkEnd w:id="0"/>
    <w:p w14:paraId="511D8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审计整改支撑材料是指落实整改事项的痕迹资料，包括但不限于研究、落实审计整改以及相关事项的过程资料、结果资料或其他佐证材料等。</w:t>
      </w:r>
    </w:p>
    <w:p w14:paraId="05AA7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一、资金款项整改资料</w:t>
      </w:r>
    </w:p>
    <w:p w14:paraId="409DA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清退资金款项的收据、银行进账单等会计凭证。需要报经批准进行坏账或核销处置资产的，提供相应的论证、评估材料或批复文件、会议纪要等。</w:t>
      </w:r>
    </w:p>
    <w:p w14:paraId="3097A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二、内部控制、合同管理整改资料</w:t>
      </w:r>
    </w:p>
    <w:p w14:paraId="266C5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提供对应的工作计划、规章制度、合同文本，以及实施的内控措施与流程改善材料，相关的会议纪要或记录，问题处理结果材料等。</w:t>
      </w:r>
    </w:p>
    <w:p w14:paraId="375BB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三、遗留问题或涉讼问题整改资料</w:t>
      </w:r>
    </w:p>
    <w:p w14:paraId="2DE93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相关问题的调查研究、论证分析材料，以及与有关单位的沟通会商、请示（报告）资料等。移送司法机关的，提供已经受理、裁决或已采取的财产保全措施材料等。</w:t>
      </w:r>
    </w:p>
    <w:p w14:paraId="422BD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四、其他与整改事项相关的资料</w:t>
      </w:r>
    </w:p>
    <w:p w14:paraId="1E498928"/>
    <w:sectPr>
      <w:footerReference r:id="rId3" w:type="default"/>
      <w:pgSz w:w="11906" w:h="16838"/>
      <w:pgMar w:top="1440" w:right="1497" w:bottom="1440" w:left="149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8997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5F51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D5F51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B35C4"/>
    <w:rsid w:val="374B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Times New Roman" w:hAnsi="Times New Roman" w:eastAsia="仿宋" w:cs="Times New Roman"/>
      <w:kern w:val="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2025-12-15T01:14:00Z</dcterms:created>
  <dc:creator>杨凌喵喵</dc:creator>
  <cp:lastModifiedBy>杨凌喵喵</cp:lastModifiedBy>
  <dcterms:modified xsi:type="dcterms:W3CDTF">2025-12-15T01:15:05Z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8207E0AC9E7140089A579DDE962720B7_11</vt:lpwstr>
  </property>
  <property fmtid="{D5CDD505-2E9C-101B-9397-08002B2CF9AE}" pid="4" name="KSOTemplateDocerSaveRecord">
    <vt:lpwstr>eyJoZGlkIjoiYmRmYWU4MjI2NGRhYTkyOTliY2Q2YWFiZDQxYTE4YjYiLCJ1c2VySWQiOiI0NDI1MzkwODQifQ==</vt:lpwstr>
  </property>
</Properties>
</file>